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R2-180</w:t>
      </w:r>
      <w:r w:rsidR="00A6265A">
        <w:rPr>
          <w:rFonts w:ascii="Arial" w:hAnsi="Arial" w:cs="Arial"/>
          <w:b/>
          <w:bCs/>
          <w:sz w:val="22"/>
        </w:rPr>
        <w:t>4091</w:t>
      </w:r>
    </w:p>
    <w:p w:rsidR="002F6B70" w:rsidRPr="00151F41" w:rsidRDefault="002F6B70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26th February – 2nd March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37B9">
        <w:rPr>
          <w:rFonts w:ascii="Arial" w:hAnsi="Arial" w:cs="Arial"/>
          <w:bCs/>
        </w:rPr>
        <w:t>LS to RAN</w:t>
      </w:r>
      <w:r w:rsidR="003630E7">
        <w:rPr>
          <w:rFonts w:ascii="Arial" w:hAnsi="Arial" w:cs="Arial"/>
          <w:bCs/>
        </w:rPr>
        <w:t xml:space="preserve"> </w:t>
      </w:r>
      <w:r w:rsidR="003630E7" w:rsidRPr="003630E7">
        <w:rPr>
          <w:rFonts w:ascii="Arial" w:hAnsi="Arial" w:cs="Arial"/>
          <w:bCs/>
        </w:rPr>
        <w:t>on IMT-2020 requirement for 0ms handover interruption time</w:t>
      </w:r>
      <w:r w:rsidR="003630E7">
        <w:rPr>
          <w:rFonts w:ascii="Arial" w:hAnsi="Arial" w:cs="Arial"/>
          <w:bCs/>
        </w:rPr>
        <w:t xml:space="preserve"> in 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8697F">
        <w:rPr>
          <w:rFonts w:ascii="Arial" w:hAnsi="Arial" w:cs="Arial"/>
          <w:bCs/>
        </w:rPr>
        <w:t>RAN WG2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137B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874BC1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874BC1">
        <w:rPr>
          <w:rFonts w:cs="Arial"/>
          <w:lang w:val="it-IT"/>
        </w:rPr>
        <w:t>Name:</w:t>
      </w:r>
      <w:r w:rsidRPr="00874BC1">
        <w:rPr>
          <w:rFonts w:cs="Arial"/>
          <w:b w:val="0"/>
          <w:bCs/>
          <w:lang w:val="it-IT"/>
        </w:rPr>
        <w:tab/>
      </w:r>
      <w:r w:rsidR="004E1D48" w:rsidRPr="00874BC1">
        <w:rPr>
          <w:rFonts w:cs="Arial"/>
          <w:b w:val="0"/>
          <w:bCs/>
          <w:lang w:val="it-IT"/>
        </w:rPr>
        <w:t>Sergio Parolari</w:t>
      </w:r>
    </w:p>
    <w:p w:rsidR="004B43C3" w:rsidRPr="00874BC1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it-IT"/>
        </w:rPr>
      </w:pPr>
      <w:r w:rsidRPr="00874BC1">
        <w:rPr>
          <w:rFonts w:cs="Arial"/>
          <w:lang w:val="it-IT"/>
        </w:rPr>
        <w:t>E-mail Address:</w:t>
      </w:r>
      <w:r w:rsidR="002F6B70" w:rsidRPr="00874BC1">
        <w:rPr>
          <w:rFonts w:cs="Arial"/>
          <w:b w:val="0"/>
          <w:bCs/>
          <w:lang w:val="it-IT"/>
        </w:rPr>
        <w:tab/>
        <w:t xml:space="preserve">  </w:t>
      </w:r>
      <w:r w:rsidR="004E1D48" w:rsidRPr="00874BC1">
        <w:rPr>
          <w:rFonts w:cs="Arial"/>
          <w:b w:val="0"/>
          <w:bCs/>
          <w:lang w:val="it-IT"/>
        </w:rPr>
        <w:t>Sergio.Parolari@zte.com.cn</w:t>
      </w:r>
    </w:p>
    <w:p w:rsidR="004B43C3" w:rsidRPr="00874BC1" w:rsidRDefault="004B43C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B43C3" w:rsidRDefault="004A6D2B">
      <w:pPr>
        <w:pStyle w:val="00BodyText"/>
        <w:rPr>
          <w:sz w:val="20"/>
          <w:szCs w:val="22"/>
        </w:rPr>
      </w:pPr>
      <w:r>
        <w:rPr>
          <w:rFonts w:hint="eastAsia"/>
          <w:sz w:val="20"/>
          <w:szCs w:val="22"/>
        </w:rPr>
        <w:t>A</w:t>
      </w:r>
      <w:r>
        <w:rPr>
          <w:sz w:val="20"/>
          <w:szCs w:val="22"/>
        </w:rPr>
        <w:t xml:space="preserve">s requested by RAN in </w:t>
      </w:r>
      <w:r w:rsidRPr="00E07952">
        <w:rPr>
          <w:rFonts w:hint="eastAsia"/>
          <w:sz w:val="20"/>
          <w:szCs w:val="22"/>
        </w:rPr>
        <w:t>RP-172807</w:t>
      </w:r>
      <w:r>
        <w:rPr>
          <w:sz w:val="20"/>
          <w:szCs w:val="22"/>
        </w:rPr>
        <w:t xml:space="preserve">, </w:t>
      </w:r>
      <w:r w:rsidR="004018B9">
        <w:rPr>
          <w:sz w:val="20"/>
          <w:szCs w:val="22"/>
        </w:rPr>
        <w:t>RAN2 investigate</w:t>
      </w:r>
      <w:r>
        <w:rPr>
          <w:sz w:val="20"/>
          <w:szCs w:val="22"/>
        </w:rPr>
        <w:t>d</w:t>
      </w:r>
      <w:r w:rsidR="004018B9">
        <w:rPr>
          <w:sz w:val="20"/>
          <w:szCs w:val="22"/>
        </w:rPr>
        <w:t xml:space="preserve"> </w:t>
      </w:r>
      <w:r>
        <w:rPr>
          <w:sz w:val="20"/>
          <w:szCs w:val="22"/>
        </w:rPr>
        <w:t>whether</w:t>
      </w:r>
      <w:r w:rsidR="004018B9">
        <w:rPr>
          <w:sz w:val="20"/>
          <w:szCs w:val="22"/>
        </w:rPr>
        <w:t xml:space="preserve"> the IMT-2020 requirement on 0ms </w:t>
      </w:r>
      <w:r w:rsidR="00DD3506">
        <w:rPr>
          <w:sz w:val="20"/>
          <w:szCs w:val="22"/>
        </w:rPr>
        <w:t xml:space="preserve">mobility </w:t>
      </w:r>
      <w:r w:rsidR="004018B9">
        <w:rPr>
          <w:sz w:val="20"/>
          <w:szCs w:val="22"/>
        </w:rPr>
        <w:t xml:space="preserve">interruption time can be </w:t>
      </w:r>
      <w:r>
        <w:rPr>
          <w:sz w:val="20"/>
          <w:szCs w:val="22"/>
        </w:rPr>
        <w:t xml:space="preserve">met </w:t>
      </w:r>
      <w:r w:rsidR="004018B9">
        <w:rPr>
          <w:sz w:val="20"/>
          <w:szCs w:val="22"/>
        </w:rPr>
        <w:t xml:space="preserve">with existing </w:t>
      </w:r>
      <w:r>
        <w:rPr>
          <w:sz w:val="20"/>
          <w:szCs w:val="22"/>
        </w:rPr>
        <w:t xml:space="preserve">Rel-15 </w:t>
      </w:r>
      <w:r w:rsidR="004018B9">
        <w:rPr>
          <w:sz w:val="20"/>
          <w:szCs w:val="22"/>
        </w:rPr>
        <w:t xml:space="preserve">LTE specs and with developing </w:t>
      </w:r>
      <w:r>
        <w:rPr>
          <w:sz w:val="20"/>
          <w:szCs w:val="22"/>
        </w:rPr>
        <w:t xml:space="preserve">Rel-15 </w:t>
      </w:r>
      <w:r w:rsidR="004018B9">
        <w:rPr>
          <w:sz w:val="20"/>
          <w:szCs w:val="22"/>
        </w:rPr>
        <w:t>NR specs.</w:t>
      </w:r>
    </w:p>
    <w:p w:rsidR="00F579F6" w:rsidRDefault="004018B9" w:rsidP="00595CB9">
      <w:pPr>
        <w:pStyle w:val="00BodyTex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After evaluation RAN2 </w:t>
      </w:r>
      <w:r w:rsidR="00DB5E57">
        <w:rPr>
          <w:sz w:val="20"/>
          <w:szCs w:val="22"/>
        </w:rPr>
        <w:t>concluded</w:t>
      </w:r>
      <w:r w:rsidR="00DB5E57"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that</w:t>
      </w:r>
      <w:r w:rsidR="00595CB9">
        <w:rPr>
          <w:sz w:val="20"/>
          <w:szCs w:val="22"/>
        </w:rPr>
        <w:t>:</w:t>
      </w:r>
    </w:p>
    <w:p w:rsidR="004A6D2B" w:rsidRPr="004A6D2B" w:rsidRDefault="004A6D2B" w:rsidP="004A6D2B">
      <w:pPr>
        <w:pStyle w:val="00BodyText"/>
        <w:rPr>
          <w:sz w:val="20"/>
          <w:szCs w:val="22"/>
        </w:rPr>
      </w:pPr>
      <w:r w:rsidRPr="004A6D2B">
        <w:rPr>
          <w:sz w:val="20"/>
          <w:szCs w:val="22"/>
        </w:rPr>
        <w:t>For LTE</w:t>
      </w:r>
      <w:r w:rsidR="00B022D6">
        <w:rPr>
          <w:sz w:val="20"/>
          <w:szCs w:val="22"/>
        </w:rPr>
        <w:t xml:space="preserve"> Rel-15</w:t>
      </w:r>
      <w:r>
        <w:rPr>
          <w:sz w:val="20"/>
          <w:szCs w:val="22"/>
        </w:rPr>
        <w:t xml:space="preserve">, the </w:t>
      </w:r>
      <w:r w:rsidRPr="004A6D2B">
        <w:rPr>
          <w:sz w:val="20"/>
          <w:szCs w:val="22"/>
        </w:rPr>
        <w:t xml:space="preserve">0ms </w:t>
      </w:r>
      <w:r w:rsidR="00DD3506">
        <w:rPr>
          <w:sz w:val="20"/>
          <w:szCs w:val="22"/>
        </w:rPr>
        <w:t xml:space="preserve">mobility </w:t>
      </w:r>
      <w:r>
        <w:rPr>
          <w:sz w:val="20"/>
          <w:szCs w:val="22"/>
        </w:rPr>
        <w:t>interruption time</w:t>
      </w:r>
      <w:r w:rsidRPr="004A6D2B">
        <w:rPr>
          <w:sz w:val="20"/>
          <w:szCs w:val="22"/>
        </w:rPr>
        <w:t xml:space="preserve"> </w:t>
      </w:r>
      <w:r>
        <w:rPr>
          <w:sz w:val="20"/>
          <w:szCs w:val="22"/>
        </w:rPr>
        <w:t>can be achie</w:t>
      </w:r>
      <w:r w:rsidR="00B022D6">
        <w:rPr>
          <w:sz w:val="20"/>
          <w:szCs w:val="22"/>
        </w:rPr>
        <w:t>ved</w:t>
      </w:r>
      <w:r w:rsidRPr="004A6D2B">
        <w:rPr>
          <w:sz w:val="20"/>
          <w:szCs w:val="22"/>
        </w:rPr>
        <w:t>:</w:t>
      </w:r>
    </w:p>
    <w:p w:rsidR="00B022D6" w:rsidRDefault="00B022D6" w:rsidP="004A6D2B">
      <w:pPr>
        <w:pStyle w:val="00BodyText"/>
        <w:numPr>
          <w:ilvl w:val="0"/>
          <w:numId w:val="5"/>
        </w:numPr>
        <w:rPr>
          <w:sz w:val="20"/>
          <w:szCs w:val="22"/>
        </w:rPr>
      </w:pPr>
      <w:r>
        <w:rPr>
          <w:sz w:val="20"/>
          <w:szCs w:val="22"/>
        </w:rPr>
        <w:t>In</w:t>
      </w:r>
      <w:r w:rsidR="004A6D2B" w:rsidRPr="004A6D2B">
        <w:rPr>
          <w:sz w:val="20"/>
          <w:szCs w:val="22"/>
        </w:rPr>
        <w:t xml:space="preserve"> intra-frequency </w:t>
      </w:r>
      <w:r>
        <w:rPr>
          <w:sz w:val="20"/>
          <w:szCs w:val="22"/>
        </w:rPr>
        <w:t xml:space="preserve">handover </w:t>
      </w:r>
      <w:r w:rsidR="004A6D2B" w:rsidRPr="004A6D2B">
        <w:rPr>
          <w:sz w:val="20"/>
          <w:szCs w:val="22"/>
        </w:rPr>
        <w:t>case</w:t>
      </w:r>
      <w:r>
        <w:rPr>
          <w:sz w:val="20"/>
          <w:szCs w:val="22"/>
        </w:rPr>
        <w:t>s</w:t>
      </w:r>
      <w:r w:rsidR="004A6D2B" w:rsidRPr="004A6D2B">
        <w:rPr>
          <w:sz w:val="20"/>
          <w:szCs w:val="22"/>
        </w:rPr>
        <w:t xml:space="preserve">, under the assumption of a dual RX UE, with the combination of Make-Before-Break (MBB) and RACH-less </w:t>
      </w:r>
      <w:r>
        <w:rPr>
          <w:sz w:val="20"/>
          <w:szCs w:val="22"/>
        </w:rPr>
        <w:t xml:space="preserve">handover </w:t>
      </w:r>
      <w:r w:rsidR="004A6D2B" w:rsidRPr="004A6D2B">
        <w:rPr>
          <w:sz w:val="20"/>
          <w:szCs w:val="22"/>
        </w:rPr>
        <w:t xml:space="preserve">(in the scenarios where RACH-less handover is applicable, i.e. no/negligible UE TA difference between </w:t>
      </w:r>
      <w:r>
        <w:rPr>
          <w:sz w:val="20"/>
          <w:szCs w:val="22"/>
        </w:rPr>
        <w:t>the source and the target cell),</w:t>
      </w:r>
    </w:p>
    <w:p w:rsidR="004A6D2B" w:rsidRDefault="004A6D2B" w:rsidP="004A6D2B">
      <w:pPr>
        <w:pStyle w:val="00BodyText"/>
        <w:numPr>
          <w:ilvl w:val="0"/>
          <w:numId w:val="5"/>
        </w:numPr>
        <w:rPr>
          <w:sz w:val="20"/>
          <w:szCs w:val="22"/>
        </w:rPr>
      </w:pPr>
      <w:r w:rsidRPr="00B022D6">
        <w:rPr>
          <w:sz w:val="20"/>
          <w:szCs w:val="22"/>
        </w:rPr>
        <w:t xml:space="preserve">For DC operation, </w:t>
      </w:r>
      <w:r w:rsidR="00B022D6">
        <w:rPr>
          <w:sz w:val="20"/>
          <w:szCs w:val="22"/>
        </w:rPr>
        <w:t xml:space="preserve">during </w:t>
      </w:r>
      <w:r w:rsidRPr="00B022D6">
        <w:rPr>
          <w:sz w:val="20"/>
          <w:szCs w:val="22"/>
        </w:rPr>
        <w:t>addition and release of the SCG in response to mobility</w:t>
      </w:r>
      <w:r w:rsidR="00B022D6">
        <w:rPr>
          <w:sz w:val="20"/>
          <w:szCs w:val="22"/>
        </w:rPr>
        <w:t xml:space="preserve"> (no change to the </w:t>
      </w:r>
      <w:proofErr w:type="spellStart"/>
      <w:r w:rsidR="00B022D6">
        <w:rPr>
          <w:sz w:val="20"/>
          <w:szCs w:val="22"/>
        </w:rPr>
        <w:t>PCell</w:t>
      </w:r>
      <w:proofErr w:type="spellEnd"/>
      <w:r w:rsidR="00B022D6">
        <w:rPr>
          <w:sz w:val="20"/>
          <w:szCs w:val="22"/>
        </w:rPr>
        <w:t>).</w:t>
      </w:r>
    </w:p>
    <w:p w:rsidR="00A6265A" w:rsidRDefault="00995854">
      <w:pPr>
        <w:pStyle w:val="00BodyText"/>
        <w:rPr>
          <w:sz w:val="20"/>
          <w:szCs w:val="22"/>
        </w:rPr>
      </w:pPr>
      <w:r>
        <w:rPr>
          <w:sz w:val="20"/>
          <w:szCs w:val="22"/>
        </w:rPr>
        <w:t xml:space="preserve">It should be noted that </w:t>
      </w:r>
      <w:r w:rsidR="00874BC1">
        <w:rPr>
          <w:sz w:val="20"/>
          <w:szCs w:val="22"/>
        </w:rPr>
        <w:t xml:space="preserve">no </w:t>
      </w:r>
      <w:r>
        <w:rPr>
          <w:sz w:val="20"/>
          <w:szCs w:val="22"/>
        </w:rPr>
        <w:t>additional work will be done for LTE in Rel-15.</w:t>
      </w:r>
    </w:p>
    <w:p w:rsidR="00B022D6" w:rsidRDefault="00B022D6" w:rsidP="00B022D6">
      <w:pPr>
        <w:pStyle w:val="00BodyText"/>
        <w:rPr>
          <w:sz w:val="20"/>
          <w:szCs w:val="22"/>
        </w:rPr>
      </w:pPr>
      <w:r w:rsidRPr="004A6D2B">
        <w:rPr>
          <w:sz w:val="20"/>
          <w:szCs w:val="22"/>
        </w:rPr>
        <w:t xml:space="preserve">For </w:t>
      </w:r>
      <w:r>
        <w:rPr>
          <w:sz w:val="20"/>
          <w:szCs w:val="22"/>
        </w:rPr>
        <w:t xml:space="preserve">NR Rel-15, the </w:t>
      </w:r>
      <w:r w:rsidRPr="004A6D2B">
        <w:rPr>
          <w:sz w:val="20"/>
          <w:szCs w:val="22"/>
        </w:rPr>
        <w:t xml:space="preserve">0ms </w:t>
      </w:r>
      <w:r w:rsidR="00DD3506">
        <w:rPr>
          <w:sz w:val="20"/>
          <w:szCs w:val="22"/>
        </w:rPr>
        <w:t xml:space="preserve">mobility </w:t>
      </w:r>
      <w:r>
        <w:rPr>
          <w:sz w:val="20"/>
          <w:szCs w:val="22"/>
        </w:rPr>
        <w:t>interruption time</w:t>
      </w:r>
      <w:r w:rsidRPr="004A6D2B">
        <w:rPr>
          <w:sz w:val="20"/>
          <w:szCs w:val="22"/>
        </w:rPr>
        <w:t xml:space="preserve"> </w:t>
      </w:r>
      <w:r>
        <w:rPr>
          <w:sz w:val="20"/>
          <w:szCs w:val="22"/>
        </w:rPr>
        <w:t>can be achieved</w:t>
      </w:r>
      <w:r w:rsidRPr="004A6D2B">
        <w:rPr>
          <w:sz w:val="20"/>
          <w:szCs w:val="22"/>
        </w:rPr>
        <w:t>:</w:t>
      </w:r>
    </w:p>
    <w:p w:rsidR="00D920DC" w:rsidRDefault="00B022D6" w:rsidP="00D920DC">
      <w:pPr>
        <w:pStyle w:val="00BodyText"/>
        <w:numPr>
          <w:ilvl w:val="0"/>
          <w:numId w:val="6"/>
        </w:numPr>
        <w:rPr>
          <w:sz w:val="20"/>
          <w:szCs w:val="22"/>
        </w:rPr>
      </w:pPr>
      <w:r w:rsidRPr="00D920DC">
        <w:rPr>
          <w:sz w:val="20"/>
          <w:szCs w:val="22"/>
        </w:rPr>
        <w:t xml:space="preserve">In </w:t>
      </w:r>
      <w:r w:rsidR="004A6D2B" w:rsidRPr="00D920DC">
        <w:rPr>
          <w:sz w:val="20"/>
          <w:szCs w:val="22"/>
        </w:rPr>
        <w:t>intra-cell beam mobility</w:t>
      </w:r>
      <w:r w:rsidRPr="00D920DC">
        <w:rPr>
          <w:sz w:val="20"/>
          <w:szCs w:val="22"/>
        </w:rPr>
        <w:t>,</w:t>
      </w:r>
    </w:p>
    <w:p w:rsidR="00D920DC" w:rsidRDefault="004A6D2B" w:rsidP="00D920DC">
      <w:pPr>
        <w:pStyle w:val="00BodyText"/>
        <w:numPr>
          <w:ilvl w:val="0"/>
          <w:numId w:val="6"/>
        </w:numPr>
        <w:rPr>
          <w:sz w:val="20"/>
          <w:szCs w:val="22"/>
        </w:rPr>
      </w:pPr>
      <w:r w:rsidRPr="00D920DC">
        <w:rPr>
          <w:sz w:val="20"/>
          <w:szCs w:val="22"/>
        </w:rPr>
        <w:t xml:space="preserve">For CA operation, </w:t>
      </w:r>
      <w:r w:rsidR="00B022D6" w:rsidRPr="00D920DC">
        <w:rPr>
          <w:sz w:val="20"/>
          <w:szCs w:val="22"/>
        </w:rPr>
        <w:t xml:space="preserve">during </w:t>
      </w:r>
      <w:r w:rsidRPr="00D920DC">
        <w:rPr>
          <w:sz w:val="20"/>
          <w:szCs w:val="22"/>
        </w:rPr>
        <w:t xml:space="preserve">addition and release of </w:t>
      </w:r>
      <w:proofErr w:type="gramStart"/>
      <w:r w:rsidR="00D920DC">
        <w:rPr>
          <w:sz w:val="20"/>
          <w:szCs w:val="22"/>
        </w:rPr>
        <w:t>an</w:t>
      </w:r>
      <w:proofErr w:type="gramEnd"/>
      <w:r w:rsidR="00D920DC">
        <w:rPr>
          <w:sz w:val="20"/>
          <w:szCs w:val="22"/>
        </w:rPr>
        <w:t xml:space="preserve"> </w:t>
      </w:r>
      <w:r w:rsidRPr="00D920DC">
        <w:rPr>
          <w:sz w:val="20"/>
          <w:szCs w:val="22"/>
        </w:rPr>
        <w:t>SCell</w:t>
      </w:r>
      <w:r w:rsidR="00D920DC" w:rsidRPr="00D920DC">
        <w:rPr>
          <w:sz w:val="20"/>
          <w:szCs w:val="22"/>
        </w:rPr>
        <w:t xml:space="preserve"> in response to mobility (n</w:t>
      </w:r>
      <w:r w:rsidRPr="00D920DC">
        <w:rPr>
          <w:sz w:val="20"/>
          <w:szCs w:val="22"/>
        </w:rPr>
        <w:t xml:space="preserve">o change to </w:t>
      </w:r>
      <w:proofErr w:type="spellStart"/>
      <w:r w:rsidRPr="00D920DC">
        <w:rPr>
          <w:sz w:val="20"/>
          <w:szCs w:val="22"/>
        </w:rPr>
        <w:t>PCell</w:t>
      </w:r>
      <w:proofErr w:type="spellEnd"/>
      <w:r w:rsidR="00D920DC" w:rsidRPr="00D920DC">
        <w:rPr>
          <w:sz w:val="20"/>
          <w:szCs w:val="22"/>
        </w:rPr>
        <w:t>)</w:t>
      </w:r>
      <w:r w:rsidRPr="00D920DC">
        <w:rPr>
          <w:sz w:val="20"/>
          <w:szCs w:val="22"/>
        </w:rPr>
        <w:t>.</w:t>
      </w:r>
    </w:p>
    <w:p w:rsidR="004A6D2B" w:rsidRPr="00D920DC" w:rsidRDefault="004A6D2B" w:rsidP="00D920DC">
      <w:pPr>
        <w:pStyle w:val="00BodyText"/>
        <w:rPr>
          <w:sz w:val="20"/>
          <w:szCs w:val="22"/>
        </w:rPr>
      </w:pPr>
      <w:r w:rsidRPr="00D920DC">
        <w:rPr>
          <w:sz w:val="20"/>
          <w:szCs w:val="22"/>
        </w:rPr>
        <w:t>F</w:t>
      </w:r>
      <w:r w:rsidR="00D920DC">
        <w:rPr>
          <w:sz w:val="20"/>
          <w:szCs w:val="22"/>
        </w:rPr>
        <w:t>or NR, f</w:t>
      </w:r>
      <w:r w:rsidRPr="00D920DC">
        <w:rPr>
          <w:sz w:val="20"/>
          <w:szCs w:val="22"/>
        </w:rPr>
        <w:t>urther cases might be added depending on progress within the NR WI by the end of Rel-15</w:t>
      </w:r>
      <w:r w:rsidR="00D920DC">
        <w:rPr>
          <w:sz w:val="20"/>
          <w:szCs w:val="22"/>
        </w:rPr>
        <w:t>.</w:t>
      </w:r>
    </w:p>
    <w:p w:rsidR="004B43C3" w:rsidRDefault="004018B9" w:rsidP="00AE656A">
      <w:pPr>
        <w:pStyle w:val="00BodyText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2. Actions:</w:t>
      </w:r>
    </w:p>
    <w:p w:rsidR="00086DAE" w:rsidRPr="004A6D2B" w:rsidRDefault="00E07952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 xml:space="preserve">RAN2 </w:t>
      </w:r>
      <w:r w:rsidR="004A6D2B">
        <w:rPr>
          <w:sz w:val="20"/>
          <w:szCs w:val="22"/>
          <w:lang w:eastAsia="zh-CN"/>
        </w:rPr>
        <w:t>invites</w:t>
      </w:r>
      <w:r>
        <w:rPr>
          <w:sz w:val="20"/>
          <w:szCs w:val="22"/>
          <w:lang w:eastAsia="zh-CN"/>
        </w:rPr>
        <w:t xml:space="preserve"> RAN</w:t>
      </w:r>
      <w:r w:rsidR="004A6D2B">
        <w:rPr>
          <w:sz w:val="20"/>
          <w:szCs w:val="22"/>
          <w:lang w:eastAsia="zh-CN"/>
        </w:rPr>
        <w:t xml:space="preserve"> to take the above information into account.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B43C3" w:rsidRDefault="004018B9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>RAN2#101bis</w:t>
      </w:r>
      <w:r w:rsidR="004A6D2B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16 - 20 Apr 2018</w:t>
      </w:r>
      <w:r w:rsidR="004A6D2B">
        <w:rPr>
          <w:rFonts w:ascii="Arial" w:eastAsia="SimSun" w:hAnsi="Arial" w:cs="Arial" w:hint="eastAsia"/>
          <w:bCs/>
          <w:lang w:val="en-US" w:eastAsia="zh-CN"/>
        </w:rPr>
        <w:t xml:space="preserve"> </w:t>
      </w:r>
      <w:proofErr w:type="spellStart"/>
      <w:r w:rsidR="004A6D2B">
        <w:rPr>
          <w:rFonts w:ascii="Arial" w:eastAsia="SimSun" w:hAnsi="Arial" w:cs="Arial" w:hint="eastAsia"/>
          <w:bCs/>
          <w:lang w:val="en-US" w:eastAsia="zh-CN"/>
        </w:rPr>
        <w:t>Sanya</w:t>
      </w:r>
      <w:proofErr w:type="spellEnd"/>
      <w:r>
        <w:rPr>
          <w:rFonts w:ascii="Arial" w:eastAsia="SimSun" w:hAnsi="Arial" w:cs="Arial" w:hint="eastAsia"/>
          <w:bCs/>
          <w:lang w:val="en-US" w:eastAsia="zh-CN"/>
        </w:rPr>
        <w:t>, China</w:t>
      </w:r>
      <w:r>
        <w:rPr>
          <w:rFonts w:ascii="Arial" w:eastAsia="SimSun" w:hAnsi="Arial" w:cs="Arial" w:hint="eastAsia"/>
          <w:bCs/>
          <w:lang w:eastAsia="zh-CN"/>
        </w:rPr>
        <w:tab/>
      </w:r>
    </w:p>
    <w:p w:rsidR="004A6D2B" w:rsidRDefault="004A6D2B" w:rsidP="004A6D2B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>RAN2#10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21 - 25 May 2018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proofErr w:type="spellStart"/>
      <w:r>
        <w:rPr>
          <w:rFonts w:ascii="Arial" w:eastAsia="SimSun" w:hAnsi="Arial" w:cs="Arial"/>
          <w:bCs/>
          <w:lang w:val="en-US" w:eastAsia="zh-CN"/>
        </w:rPr>
        <w:t>Busan</w:t>
      </w:r>
      <w:proofErr w:type="spellEnd"/>
      <w:r>
        <w:rPr>
          <w:rFonts w:ascii="Arial" w:eastAsia="SimSun" w:hAnsi="Arial" w:cs="Arial" w:hint="eastAsia"/>
          <w:bCs/>
          <w:lang w:val="en-US" w:eastAsia="zh-CN"/>
        </w:rPr>
        <w:t xml:space="preserve">, </w:t>
      </w:r>
      <w:r>
        <w:rPr>
          <w:rFonts w:ascii="Arial" w:eastAsia="SimSun" w:hAnsi="Arial" w:cs="Arial"/>
          <w:bCs/>
          <w:lang w:val="en-US" w:eastAsia="zh-CN"/>
        </w:rPr>
        <w:t>South Korea</w:t>
      </w:r>
      <w:r>
        <w:rPr>
          <w:rFonts w:ascii="Arial" w:eastAsia="SimSun" w:hAnsi="Arial" w:cs="Arial" w:hint="eastAsia"/>
          <w:bCs/>
          <w:lang w:eastAsia="zh-CN"/>
        </w:rPr>
        <w:tab/>
      </w:r>
    </w:p>
    <w:p w:rsidR="004A6D2B" w:rsidRDefault="004A6D2B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4A6D2B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65A" w:rsidRDefault="00A6265A" w:rsidP="003F2A17">
      <w:pPr>
        <w:spacing w:after="0" w:line="240" w:lineRule="auto"/>
      </w:pPr>
      <w:r>
        <w:separator/>
      </w:r>
    </w:p>
  </w:endnote>
  <w:endnote w:type="continuationSeparator" w:id="0">
    <w:p w:rsidR="00A6265A" w:rsidRDefault="00A6265A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65A" w:rsidRDefault="00A6265A" w:rsidP="003F2A17">
      <w:pPr>
        <w:spacing w:after="0" w:line="240" w:lineRule="auto"/>
      </w:pPr>
      <w:r>
        <w:separator/>
      </w:r>
    </w:p>
  </w:footnote>
  <w:footnote w:type="continuationSeparator" w:id="0">
    <w:p w:rsidR="00A6265A" w:rsidRDefault="00A6265A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Candy">
    <w15:presenceInfo w15:providerId="None" w15:userId="Intel-C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75163"/>
    <w:rsid w:val="0008697F"/>
    <w:rsid w:val="00086DAE"/>
    <w:rsid w:val="000E1C30"/>
    <w:rsid w:val="001A53ED"/>
    <w:rsid w:val="001B48FE"/>
    <w:rsid w:val="001E0803"/>
    <w:rsid w:val="00214BA5"/>
    <w:rsid w:val="00226418"/>
    <w:rsid w:val="00235CC5"/>
    <w:rsid w:val="002D6ADC"/>
    <w:rsid w:val="002F6B70"/>
    <w:rsid w:val="0033641D"/>
    <w:rsid w:val="00350CAA"/>
    <w:rsid w:val="0035552F"/>
    <w:rsid w:val="003630E7"/>
    <w:rsid w:val="003855B1"/>
    <w:rsid w:val="003F2A17"/>
    <w:rsid w:val="003F4A46"/>
    <w:rsid w:val="004018B9"/>
    <w:rsid w:val="004A6D2B"/>
    <w:rsid w:val="004B43C3"/>
    <w:rsid w:val="004C1AE2"/>
    <w:rsid w:val="004E1D48"/>
    <w:rsid w:val="00522F1D"/>
    <w:rsid w:val="00583EC9"/>
    <w:rsid w:val="00595CB9"/>
    <w:rsid w:val="005C7328"/>
    <w:rsid w:val="005F450A"/>
    <w:rsid w:val="00616533"/>
    <w:rsid w:val="0064584E"/>
    <w:rsid w:val="006C6999"/>
    <w:rsid w:val="00735427"/>
    <w:rsid w:val="0076527A"/>
    <w:rsid w:val="007B439F"/>
    <w:rsid w:val="00811F09"/>
    <w:rsid w:val="00815AAC"/>
    <w:rsid w:val="0084118E"/>
    <w:rsid w:val="00841DD6"/>
    <w:rsid w:val="008437B3"/>
    <w:rsid w:val="00850B4D"/>
    <w:rsid w:val="00862FEB"/>
    <w:rsid w:val="008648CB"/>
    <w:rsid w:val="00874BC1"/>
    <w:rsid w:val="00875434"/>
    <w:rsid w:val="008922AA"/>
    <w:rsid w:val="008E6D2A"/>
    <w:rsid w:val="0091663E"/>
    <w:rsid w:val="00925A8D"/>
    <w:rsid w:val="00995854"/>
    <w:rsid w:val="009F7633"/>
    <w:rsid w:val="00A276BE"/>
    <w:rsid w:val="00A356C5"/>
    <w:rsid w:val="00A6265A"/>
    <w:rsid w:val="00AC36D7"/>
    <w:rsid w:val="00AE656A"/>
    <w:rsid w:val="00AF7103"/>
    <w:rsid w:val="00B022D6"/>
    <w:rsid w:val="00B074F1"/>
    <w:rsid w:val="00B80397"/>
    <w:rsid w:val="00B92A9B"/>
    <w:rsid w:val="00BE0DDD"/>
    <w:rsid w:val="00BE1A75"/>
    <w:rsid w:val="00C81CF2"/>
    <w:rsid w:val="00CB6714"/>
    <w:rsid w:val="00D1090E"/>
    <w:rsid w:val="00D5374D"/>
    <w:rsid w:val="00D64146"/>
    <w:rsid w:val="00D86F18"/>
    <w:rsid w:val="00D920DC"/>
    <w:rsid w:val="00DB5E57"/>
    <w:rsid w:val="00DD3506"/>
    <w:rsid w:val="00E030DF"/>
    <w:rsid w:val="00E041BB"/>
    <w:rsid w:val="00E07952"/>
    <w:rsid w:val="00E758A5"/>
    <w:rsid w:val="00E76C6B"/>
    <w:rsid w:val="00EE1310"/>
    <w:rsid w:val="00F00489"/>
    <w:rsid w:val="00F137B9"/>
    <w:rsid w:val="00F579F6"/>
    <w:rsid w:val="00F936FB"/>
    <w:rsid w:val="00F961DD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0BF84-88BB-42CC-B93F-FECE4DBB1EA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789c8df-cd92-43c1-8a83-195dbc0f0a0a"/>
    <ds:schemaRef ds:uri="http://purl.org/dc/terms/"/>
    <ds:schemaRef ds:uri="http://schemas.microsoft.com/sharepoint/v4"/>
    <ds:schemaRef ds:uri="08b2df90-05d3-4030-90d4-c9feeb4a1c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2002-04-23T06:10:00Z</cp:lastPrinted>
  <dcterms:created xsi:type="dcterms:W3CDTF">2018-03-02T13:30:00Z</dcterms:created>
  <dcterms:modified xsi:type="dcterms:W3CDTF">2018-03-02T13:30:00Z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  <property fmtid="{D5CDD505-2E9C-101B-9397-08002B2CF9AE}" pid="14" name="TitusGUID">
    <vt:lpwstr>bed5703d-47de-4ac4-a7f3-d9a83299a4b5</vt:lpwstr>
  </property>
  <property fmtid="{D5CDD505-2E9C-101B-9397-08002B2CF9AE}" pid="15" name="CTPClassification">
    <vt:lpwstr>CTP_NT</vt:lpwstr>
  </property>
</Properties>
</file>